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6EAC690D" w14:textId="3AF9F6C0" w:rsidR="004B19A5" w:rsidRDefault="00072C8E" w:rsidP="00D00396">
      <w:pPr>
        <w:jc w:val="center"/>
        <w:rPr>
          <w:rFonts w:ascii="Gill Sans" w:hAnsi="Gill Sans" w:cs="Gill Sans"/>
          <w:b/>
          <w:color w:val="FF0000"/>
          <w:sz w:val="32"/>
        </w:rPr>
      </w:pPr>
      <w:r>
        <w:rPr>
          <w:rFonts w:ascii="Gill Sans" w:hAnsi="Gill Sans" w:cs="Gill Sans"/>
          <w:b/>
          <w:color w:val="FF0000"/>
          <w:sz w:val="32"/>
        </w:rPr>
        <w:t>Early Years Practitioner</w:t>
      </w:r>
    </w:p>
    <w:p w14:paraId="16B76798" w14:textId="4118C78E"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C448DC" w:rsidRPr="000715D3" w14:paraId="0F367FF5" w14:textId="77777777" w:rsidTr="000F29D7">
        <w:tc>
          <w:tcPr>
            <w:tcW w:w="1560" w:type="dxa"/>
            <w:shd w:val="clear" w:color="auto" w:fill="auto"/>
          </w:tcPr>
          <w:p w14:paraId="1DF217C3"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1D2AD4E8" w14:textId="32441310" w:rsidR="00C448DC" w:rsidRPr="002F4540" w:rsidRDefault="00072C8E" w:rsidP="000F29D7">
            <w:pPr>
              <w:rPr>
                <w:rFonts w:ascii="Gill Sans MT" w:eastAsia="Calibri" w:hAnsi="Gill Sans MT" w:cs="Gill Sans"/>
                <w:sz w:val="22"/>
                <w:szCs w:val="22"/>
              </w:rPr>
            </w:pPr>
            <w:r w:rsidRPr="002F4540">
              <w:rPr>
                <w:rFonts w:ascii="Gill Sans MT" w:hAnsi="Gill Sans MT" w:cs="Gill Sans"/>
                <w:sz w:val="22"/>
                <w:szCs w:val="22"/>
              </w:rPr>
              <w:t>Essex LGS Point 11-13 (£17,007 - £17,391)</w:t>
            </w:r>
            <w:r w:rsidRPr="002F4540">
              <w:rPr>
                <w:rFonts w:ascii="Gill Sans MT" w:hAnsi="Gill Sans MT"/>
              </w:rPr>
              <w:t xml:space="preserve"> </w:t>
            </w:r>
            <w:r w:rsidRPr="002F4540">
              <w:rPr>
                <w:rFonts w:ascii="Gill Sans MT" w:hAnsi="Gill Sans MT" w:cs="Gill Sans"/>
                <w:sz w:val="22"/>
                <w:szCs w:val="22"/>
              </w:rPr>
              <w:t>plus OFA £597 pro rata</w:t>
            </w:r>
          </w:p>
        </w:tc>
      </w:tr>
      <w:tr w:rsidR="00C448DC" w:rsidRPr="000715D3" w14:paraId="0484C1C0" w14:textId="77777777" w:rsidTr="000F29D7">
        <w:tc>
          <w:tcPr>
            <w:tcW w:w="1560" w:type="dxa"/>
            <w:shd w:val="clear" w:color="auto" w:fill="auto"/>
          </w:tcPr>
          <w:p w14:paraId="38D78BE8"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401F1C12" w14:textId="79F9A956" w:rsidR="00C448DC" w:rsidRPr="000715D3" w:rsidRDefault="002F4540" w:rsidP="000F29D7">
            <w:pPr>
              <w:rPr>
                <w:rFonts w:ascii="Gill Sans MT" w:eastAsia="Calibri" w:hAnsi="Gill Sans MT" w:cs="Gill Sans"/>
                <w:sz w:val="22"/>
                <w:szCs w:val="22"/>
              </w:rPr>
            </w:pPr>
            <w:r>
              <w:rPr>
                <w:rFonts w:ascii="Gill Sans MT" w:eastAsia="Calibri" w:hAnsi="Gill Sans MT" w:cs="Gill Sans"/>
                <w:sz w:val="22"/>
                <w:szCs w:val="22"/>
              </w:rPr>
              <w:t>Room Leader</w:t>
            </w:r>
          </w:p>
        </w:tc>
      </w:tr>
      <w:tr w:rsidR="00C448DC" w:rsidRPr="000715D3" w14:paraId="3D06C6FE" w14:textId="77777777" w:rsidTr="000F29D7">
        <w:tc>
          <w:tcPr>
            <w:tcW w:w="1560" w:type="dxa"/>
            <w:shd w:val="clear" w:color="auto" w:fill="auto"/>
          </w:tcPr>
          <w:p w14:paraId="740982BE"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2BE9A25E" w14:textId="77777777" w:rsidR="00C448DC" w:rsidRPr="000715D3" w:rsidRDefault="00C448DC" w:rsidP="000F29D7">
            <w:pPr>
              <w:rPr>
                <w:rFonts w:ascii="Gill Sans MT" w:eastAsia="Calibri" w:hAnsi="Gill Sans MT" w:cs="Gill Sans"/>
                <w:sz w:val="22"/>
                <w:szCs w:val="22"/>
              </w:rPr>
            </w:pPr>
            <w:r>
              <w:rPr>
                <w:rFonts w:ascii="Gill Sans MT" w:eastAsia="Calibri" w:hAnsi="Gill Sans MT" w:cs="Gill Sans"/>
                <w:sz w:val="22"/>
                <w:szCs w:val="22"/>
              </w:rPr>
              <w:t>Supporting teaching and learning in the EYFS</w:t>
            </w:r>
          </w:p>
        </w:tc>
      </w:tr>
      <w:tr w:rsidR="00C448DC" w:rsidRPr="000715D3" w14:paraId="28B74D6F" w14:textId="77777777" w:rsidTr="000F29D7">
        <w:tc>
          <w:tcPr>
            <w:tcW w:w="1560" w:type="dxa"/>
            <w:shd w:val="clear" w:color="auto" w:fill="auto"/>
          </w:tcPr>
          <w:p w14:paraId="480CC5C1" w14:textId="77777777" w:rsidR="00C448DC" w:rsidRPr="000715D3" w:rsidRDefault="00C448DC" w:rsidP="000F29D7">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2D0B61E5" w14:textId="0DD2DB17" w:rsidR="00C448DC" w:rsidRPr="000715D3" w:rsidRDefault="00072C8E" w:rsidP="000F29D7">
            <w:pPr>
              <w:rPr>
                <w:rFonts w:ascii="Gill Sans MT" w:eastAsia="Calibri" w:hAnsi="Gill Sans MT" w:cs="Gill Sans"/>
                <w:sz w:val="22"/>
                <w:szCs w:val="22"/>
              </w:rPr>
            </w:pPr>
            <w:r w:rsidRPr="00072C8E">
              <w:rPr>
                <w:rFonts w:ascii="Gill Sans MT" w:eastAsia="Calibri" w:hAnsi="Gill Sans MT" w:cs="Gill Sans"/>
                <w:sz w:val="22"/>
                <w:szCs w:val="22"/>
              </w:rPr>
              <w:t>Academy and Nursery Staff,  Headteacher, Senior Leadership Team, Children, Parents/Carers</w:t>
            </w:r>
          </w:p>
        </w:tc>
      </w:tr>
    </w:tbl>
    <w:p w14:paraId="5311B9BD" w14:textId="77777777" w:rsidR="00CC2D9A" w:rsidRPr="009F566F" w:rsidRDefault="00CC2D9A" w:rsidP="002023C1">
      <w:pPr>
        <w:rPr>
          <w:rFonts w:ascii="Gill Sans" w:hAnsi="Gill Sans" w:cs="Gill Sans"/>
          <w:b/>
          <w:sz w:val="21"/>
          <w:szCs w:val="21"/>
        </w:rPr>
      </w:pPr>
    </w:p>
    <w:p w14:paraId="209E7BEC" w14:textId="77777777" w:rsidR="00F12095" w:rsidRPr="009F566F" w:rsidRDefault="00F12095" w:rsidP="00F512B4">
      <w:pPr>
        <w:ind w:right="-625"/>
        <w:rPr>
          <w:rFonts w:ascii="Gill Sans" w:hAnsi="Gill Sans" w:cs="Gill Sans"/>
          <w:b/>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5C1BA3C7"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Qualifications</w:t>
            </w:r>
            <w:r w:rsidR="003F2DA4" w:rsidRPr="003F2DA4">
              <w:rPr>
                <w:rFonts w:ascii="Gill Sans" w:hAnsi="Gill Sans" w:cs="Gill Sans"/>
                <w:sz w:val="22"/>
                <w:szCs w:val="22"/>
              </w:rPr>
              <w:t>:</w:t>
            </w:r>
          </w:p>
        </w:tc>
        <w:tc>
          <w:tcPr>
            <w:tcW w:w="6261" w:type="dxa"/>
            <w:shd w:val="clear" w:color="auto" w:fill="auto"/>
          </w:tcPr>
          <w:p w14:paraId="72F0D8DB" w14:textId="2B37038F" w:rsidR="0028690A" w:rsidRDefault="00072C8E" w:rsidP="00072C8E">
            <w:pPr>
              <w:pStyle w:val="ListParagraph"/>
              <w:numPr>
                <w:ilvl w:val="0"/>
                <w:numId w:val="2"/>
              </w:numPr>
              <w:tabs>
                <w:tab w:val="left" w:pos="295"/>
              </w:tabs>
              <w:ind w:left="295" w:hanging="295"/>
              <w:rPr>
                <w:rFonts w:ascii="Gill Sans" w:hAnsi="Gill Sans" w:cs="Gill Sans"/>
                <w:sz w:val="22"/>
                <w:szCs w:val="22"/>
              </w:rPr>
            </w:pPr>
            <w:r w:rsidRPr="00072C8E">
              <w:rPr>
                <w:rFonts w:ascii="Gill Sans" w:hAnsi="Gill Sans" w:cs="Gill Sans"/>
                <w:sz w:val="22"/>
                <w:szCs w:val="22"/>
              </w:rPr>
              <w:t xml:space="preserve">Completion of a recognised Level 2 Childcare qualification, e.g. Level 2 Certificate for the Children &amp; Young People’s </w:t>
            </w:r>
            <w:proofErr w:type="spellStart"/>
            <w:r w:rsidRPr="00072C8E">
              <w:rPr>
                <w:rFonts w:ascii="Gill Sans" w:hAnsi="Gill Sans" w:cs="Gill Sans"/>
                <w:sz w:val="22"/>
                <w:szCs w:val="22"/>
              </w:rPr>
              <w:t>Worforce</w:t>
            </w:r>
            <w:proofErr w:type="spellEnd"/>
            <w:r w:rsidRPr="00072C8E">
              <w:rPr>
                <w:rFonts w:ascii="Gill Sans" w:hAnsi="Gill Sans" w:cs="Gill Sans"/>
                <w:sz w:val="22"/>
                <w:szCs w:val="22"/>
              </w:rPr>
              <w:t>, NVQ Level 2 in Children’s Care, Learning and Development</w:t>
            </w:r>
          </w:p>
          <w:p w14:paraId="06DCC40D" w14:textId="77777777" w:rsidR="0028690A" w:rsidRDefault="0028690A" w:rsidP="0028690A">
            <w:pPr>
              <w:pStyle w:val="ListParagraph"/>
              <w:tabs>
                <w:tab w:val="left" w:pos="295"/>
              </w:tabs>
              <w:ind w:left="295"/>
              <w:rPr>
                <w:rFonts w:ascii="Gill Sans" w:hAnsi="Gill Sans" w:cs="Gill Sans"/>
                <w:sz w:val="22"/>
                <w:szCs w:val="22"/>
              </w:rPr>
            </w:pPr>
            <w:r>
              <w:rPr>
                <w:rFonts w:ascii="Gill Sans" w:hAnsi="Gill Sans" w:cs="Gill Sans"/>
                <w:sz w:val="22"/>
                <w:szCs w:val="22"/>
              </w:rPr>
              <w:t>OR</w:t>
            </w:r>
          </w:p>
          <w:p w14:paraId="6E2CA105" w14:textId="6ACE3D2C" w:rsidR="00072C8E" w:rsidRPr="0028690A" w:rsidRDefault="0028690A" w:rsidP="0028690A">
            <w:pPr>
              <w:tabs>
                <w:tab w:val="left" w:pos="295"/>
              </w:tabs>
              <w:ind w:left="301"/>
              <w:rPr>
                <w:rFonts w:ascii="Gill Sans" w:hAnsi="Gill Sans" w:cs="Gill Sans"/>
                <w:sz w:val="22"/>
                <w:szCs w:val="22"/>
              </w:rPr>
            </w:pPr>
            <w:r w:rsidRPr="0028690A">
              <w:rPr>
                <w:rFonts w:ascii="Gill Sans" w:hAnsi="Gill Sans" w:cs="Gill Sans"/>
                <w:sz w:val="22"/>
                <w:szCs w:val="22"/>
              </w:rPr>
              <w:t>Level 3 Childcare qualification, e.g.</w:t>
            </w:r>
            <w:r w:rsidR="00072C8E" w:rsidRPr="0028690A">
              <w:rPr>
                <w:rFonts w:ascii="Gill Sans" w:hAnsi="Gill Sans" w:cs="Gill Sans"/>
                <w:sz w:val="22"/>
                <w:szCs w:val="22"/>
              </w:rPr>
              <w:t xml:space="preserve"> </w:t>
            </w:r>
            <w:r w:rsidRPr="0028690A">
              <w:rPr>
                <w:rFonts w:ascii="Gill Sans" w:hAnsi="Gill Sans" w:cs="Gill Sans"/>
                <w:sz w:val="22"/>
                <w:szCs w:val="22"/>
              </w:rPr>
              <w:t xml:space="preserve">NVQ Level 3 in </w:t>
            </w:r>
            <w:r>
              <w:rPr>
                <w:rFonts w:ascii="Gill Sans" w:hAnsi="Gill Sans" w:cs="Gill Sans"/>
                <w:sz w:val="22"/>
                <w:szCs w:val="22"/>
              </w:rPr>
              <w:t xml:space="preserve">   </w:t>
            </w:r>
            <w:r w:rsidRPr="0028690A">
              <w:rPr>
                <w:rFonts w:ascii="Gill Sans" w:hAnsi="Gill Sans" w:cs="Gill Sans"/>
                <w:sz w:val="22"/>
                <w:szCs w:val="22"/>
              </w:rPr>
              <w:t>Children’s Care, Learning and Development</w:t>
            </w:r>
            <w:r w:rsidRPr="0028690A">
              <w:rPr>
                <w:rFonts w:ascii="Gill Sans" w:hAnsi="Gill Sans" w:cs="Gill Sans"/>
                <w:sz w:val="22"/>
                <w:szCs w:val="22"/>
              </w:rPr>
              <w:t xml:space="preserve">, </w:t>
            </w:r>
            <w:r w:rsidRPr="0028690A">
              <w:rPr>
                <w:rFonts w:ascii="Gill Sans" w:hAnsi="Gill Sans" w:cs="Gill Sans"/>
                <w:iCs/>
                <w:sz w:val="22"/>
                <w:szCs w:val="22"/>
              </w:rPr>
              <w:t>CACHE Level 3 Diploma in Child Care and Education</w:t>
            </w:r>
            <w:r w:rsidRPr="0028690A">
              <w:rPr>
                <w:rFonts w:ascii="Gill Sans" w:hAnsi="Gill Sans" w:cs="Gill Sans"/>
                <w:iCs/>
                <w:sz w:val="22"/>
                <w:szCs w:val="22"/>
              </w:rPr>
              <w:t xml:space="preserve"> </w:t>
            </w:r>
            <w:r w:rsidRPr="0028690A">
              <w:rPr>
                <w:rFonts w:ascii="Gill Sans" w:hAnsi="Gill Sans" w:cs="Gill Sans"/>
                <w:sz w:val="22"/>
                <w:szCs w:val="22"/>
              </w:rPr>
              <w:t>(Or equivalent)</w:t>
            </w:r>
            <w:bookmarkStart w:id="0" w:name="_GoBack"/>
            <w:bookmarkEnd w:id="0"/>
          </w:p>
          <w:p w14:paraId="412A1C6D" w14:textId="77777777" w:rsidR="00072C8E" w:rsidRPr="00072C8E" w:rsidRDefault="00072C8E" w:rsidP="00072C8E">
            <w:pPr>
              <w:pStyle w:val="ListParagraph"/>
              <w:numPr>
                <w:ilvl w:val="0"/>
                <w:numId w:val="2"/>
              </w:numPr>
              <w:tabs>
                <w:tab w:val="left" w:pos="579"/>
              </w:tabs>
              <w:ind w:left="295" w:hanging="295"/>
              <w:rPr>
                <w:rFonts w:ascii="Gill Sans" w:hAnsi="Gill Sans" w:cs="Gill Sans"/>
                <w:sz w:val="22"/>
                <w:szCs w:val="22"/>
              </w:rPr>
            </w:pPr>
            <w:r w:rsidRPr="00072C8E">
              <w:rPr>
                <w:rFonts w:ascii="Gill Sans" w:hAnsi="Gill Sans" w:cs="Gill Sans"/>
                <w:sz w:val="22"/>
                <w:szCs w:val="22"/>
              </w:rPr>
              <w:t>A positive approach to gaining further qualifications</w:t>
            </w:r>
          </w:p>
          <w:p w14:paraId="079169D4" w14:textId="77777777" w:rsidR="00072C8E" w:rsidRPr="00072C8E" w:rsidRDefault="00072C8E" w:rsidP="00072C8E">
            <w:pPr>
              <w:pStyle w:val="ListParagraph"/>
              <w:numPr>
                <w:ilvl w:val="0"/>
                <w:numId w:val="2"/>
              </w:numPr>
              <w:tabs>
                <w:tab w:val="left" w:pos="579"/>
              </w:tabs>
              <w:ind w:left="295" w:hanging="295"/>
              <w:rPr>
                <w:rFonts w:ascii="Gill Sans" w:hAnsi="Gill Sans" w:cs="Gill Sans"/>
                <w:sz w:val="22"/>
                <w:szCs w:val="22"/>
              </w:rPr>
            </w:pPr>
            <w:r w:rsidRPr="00072C8E">
              <w:rPr>
                <w:rFonts w:ascii="Gill Sans" w:hAnsi="Gill Sans" w:cs="Gill Sans"/>
                <w:sz w:val="22"/>
                <w:szCs w:val="22"/>
              </w:rPr>
              <w:t>Some understanding of the importance of Health &amp; Safety and Food Hygiene in the workplace</w:t>
            </w:r>
          </w:p>
          <w:p w14:paraId="1C2F8EBE" w14:textId="3CE0CD3C" w:rsidR="00C448DC" w:rsidRPr="004B19A5" w:rsidRDefault="00C448DC" w:rsidP="00102A26">
            <w:pPr>
              <w:pStyle w:val="ListParagraph"/>
              <w:numPr>
                <w:ilvl w:val="0"/>
                <w:numId w:val="2"/>
              </w:numPr>
              <w:tabs>
                <w:tab w:val="left" w:pos="579"/>
              </w:tabs>
              <w:ind w:left="295" w:hanging="283"/>
              <w:rPr>
                <w:rFonts w:ascii="Gill Sans" w:hAnsi="Gill Sans" w:cs="Gill Sans"/>
                <w:sz w:val="22"/>
                <w:szCs w:val="22"/>
              </w:rPr>
            </w:pPr>
            <w:r>
              <w:rPr>
                <w:rFonts w:ascii="Gill Sans" w:hAnsi="Gill Sans" w:cs="Gill Sans"/>
                <w:sz w:val="22"/>
                <w:szCs w:val="22"/>
              </w:rPr>
              <w:t>Good numeracy and literacy skills</w:t>
            </w:r>
          </w:p>
        </w:tc>
      </w:tr>
      <w:tr w:rsidR="003F2DA4" w:rsidRPr="003F2DA4" w14:paraId="42C3659F" w14:textId="77777777" w:rsidTr="003F2DA4">
        <w:tc>
          <w:tcPr>
            <w:tcW w:w="2422" w:type="dxa"/>
            <w:shd w:val="clear" w:color="auto" w:fill="auto"/>
          </w:tcPr>
          <w:p w14:paraId="045C605E" w14:textId="5A000D55" w:rsidR="00072C8E" w:rsidRPr="00072C8E" w:rsidRDefault="00072C8E" w:rsidP="00072C8E">
            <w:pPr>
              <w:tabs>
                <w:tab w:val="left" w:pos="989"/>
              </w:tabs>
              <w:rPr>
                <w:rFonts w:ascii="Gill Sans" w:hAnsi="Gill Sans" w:cs="Gill Sans"/>
                <w:sz w:val="22"/>
                <w:szCs w:val="22"/>
              </w:rPr>
            </w:pPr>
            <w:r w:rsidRPr="00072C8E">
              <w:rPr>
                <w:rFonts w:ascii="Gill Sans" w:hAnsi="Gill Sans" w:cs="Gill Sans"/>
                <w:sz w:val="22"/>
                <w:szCs w:val="22"/>
              </w:rPr>
              <w:t>Skills, aptitude, knowledge and experience</w:t>
            </w:r>
            <w:r>
              <w:rPr>
                <w:rFonts w:ascii="Gill Sans" w:hAnsi="Gill Sans" w:cs="Gill Sans"/>
                <w:sz w:val="22"/>
                <w:szCs w:val="22"/>
              </w:rPr>
              <w:t>:</w:t>
            </w:r>
          </w:p>
          <w:p w14:paraId="457BB227" w14:textId="55FA8CFA" w:rsidR="003F2DA4" w:rsidRPr="003F2DA4" w:rsidRDefault="003F2DA4" w:rsidP="00586B62">
            <w:pPr>
              <w:tabs>
                <w:tab w:val="left" w:pos="989"/>
              </w:tabs>
              <w:rPr>
                <w:rFonts w:ascii="Gill Sans" w:hAnsi="Gill Sans" w:cs="Gill Sans"/>
                <w:sz w:val="22"/>
                <w:szCs w:val="22"/>
              </w:rPr>
            </w:pPr>
          </w:p>
        </w:tc>
        <w:tc>
          <w:tcPr>
            <w:tcW w:w="6261" w:type="dxa"/>
            <w:shd w:val="clear" w:color="auto" w:fill="auto"/>
          </w:tcPr>
          <w:p w14:paraId="3DBC61BF"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Previous experience of caring for, or working with children aged 0-5 in a voluntary or paid capacity</w:t>
            </w:r>
          </w:p>
          <w:p w14:paraId="7EFEA510" w14:textId="185B7BE5"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 xml:space="preserve">An understanding of the </w:t>
            </w:r>
            <w:r>
              <w:rPr>
                <w:rFonts w:ascii="Gill Sans" w:hAnsi="Gill Sans" w:cs="Gill Sans"/>
                <w:sz w:val="22"/>
                <w:szCs w:val="22"/>
              </w:rPr>
              <w:t xml:space="preserve">EYFS Framework and </w:t>
            </w:r>
            <w:r w:rsidRPr="00072C8E">
              <w:rPr>
                <w:rFonts w:ascii="Gill Sans" w:hAnsi="Gill Sans" w:cs="Gill Sans"/>
                <w:sz w:val="22"/>
                <w:szCs w:val="22"/>
              </w:rPr>
              <w:t>Early Learning Goals</w:t>
            </w:r>
          </w:p>
          <w:p w14:paraId="0A0F5E5D"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Knowledge of the National Standards for the regulation of Childcare provision</w:t>
            </w:r>
          </w:p>
          <w:p w14:paraId="0AA3B988" w14:textId="77777777" w:rsidR="00072C8E"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t>A commitment to the provision of high quality childcare</w:t>
            </w:r>
          </w:p>
          <w:p w14:paraId="389EE4FC" w14:textId="19D0A700" w:rsidR="003F2DA4" w:rsidRPr="00072C8E" w:rsidRDefault="00072C8E" w:rsidP="00072C8E">
            <w:pPr>
              <w:numPr>
                <w:ilvl w:val="0"/>
                <w:numId w:val="10"/>
              </w:numPr>
              <w:pBdr>
                <w:top w:val="nil"/>
                <w:left w:val="nil"/>
                <w:bottom w:val="nil"/>
                <w:right w:val="nil"/>
                <w:between w:val="nil"/>
                <w:bar w:val="nil"/>
              </w:pBdr>
              <w:rPr>
                <w:rFonts w:ascii="Gill Sans" w:hAnsi="Gill Sans" w:cs="Gill Sans"/>
                <w:sz w:val="22"/>
                <w:szCs w:val="22"/>
              </w:rPr>
            </w:pPr>
            <w:r w:rsidRPr="00072C8E">
              <w:rPr>
                <w:rFonts w:ascii="Gill Sans" w:hAnsi="Gill Sans" w:cs="Gill Sans"/>
                <w:sz w:val="22"/>
                <w:szCs w:val="22"/>
              </w:rPr>
              <w:lastRenderedPageBreak/>
              <w:t>A positive approach to learning and gaining new skills through teamwork and training opportunities</w:t>
            </w:r>
          </w:p>
        </w:tc>
      </w:tr>
      <w:tr w:rsidR="003F2DA4" w:rsidRPr="003F2DA4" w14:paraId="2AF69EF1" w14:textId="77777777" w:rsidTr="003F2DA4">
        <w:tc>
          <w:tcPr>
            <w:tcW w:w="2422" w:type="dxa"/>
            <w:shd w:val="clear" w:color="auto" w:fill="auto"/>
          </w:tcPr>
          <w:p w14:paraId="13B22280" w14:textId="1138B0E1"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lastRenderedPageBreak/>
              <w:t>Newhall Ethos</w:t>
            </w:r>
          </w:p>
        </w:tc>
        <w:tc>
          <w:tcPr>
            <w:tcW w:w="6261" w:type="dxa"/>
            <w:shd w:val="clear" w:color="auto" w:fill="auto"/>
          </w:tcPr>
          <w:p w14:paraId="412943E1" w14:textId="7B55557D"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Capacity to work well with pupils across all age groups </w:t>
            </w:r>
          </w:p>
          <w:p w14:paraId="41C562F5" w14:textId="4AF4DC0F"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Fully supportive of the aims &amp; ethos of the Academy and Nursery </w:t>
            </w:r>
          </w:p>
          <w:p w14:paraId="25A6AEC5" w14:textId="0F591493" w:rsidR="00102A26"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Ability to ensure that the atmosphere is</w:t>
            </w:r>
            <w:r>
              <w:t xml:space="preserve"> </w:t>
            </w:r>
            <w:r w:rsidRPr="00102A26">
              <w:rPr>
                <w:rFonts w:ascii="Gill Sans" w:hAnsi="Gill Sans" w:cs="Gill Sans"/>
                <w:sz w:val="22"/>
                <w:szCs w:val="22"/>
              </w:rPr>
              <w:t xml:space="preserve">welcoming </w:t>
            </w:r>
          </w:p>
          <w:p w14:paraId="6D7E8D10" w14:textId="6E53F338" w:rsidR="003F2DA4" w:rsidRPr="00102A26" w:rsidRDefault="00102A26" w:rsidP="00072C8E">
            <w:pPr>
              <w:pStyle w:val="ListParagraph"/>
              <w:numPr>
                <w:ilvl w:val="0"/>
                <w:numId w:val="4"/>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Ability to support the vision for a high quality learning environment which promotes spiritual, moral, social and cultural development  </w:t>
            </w:r>
          </w:p>
        </w:tc>
      </w:tr>
      <w:tr w:rsidR="00102A26" w:rsidRPr="003F2DA4" w14:paraId="3BF2CF4F" w14:textId="77777777" w:rsidTr="003F2DA4">
        <w:tc>
          <w:tcPr>
            <w:tcW w:w="2422" w:type="dxa"/>
            <w:shd w:val="clear" w:color="auto" w:fill="auto"/>
          </w:tcPr>
          <w:p w14:paraId="1335559E" w14:textId="4B17A2EB" w:rsidR="00102A26" w:rsidRDefault="00102A26" w:rsidP="00586B62">
            <w:pPr>
              <w:tabs>
                <w:tab w:val="left" w:pos="989"/>
              </w:tabs>
              <w:rPr>
                <w:rFonts w:ascii="Gill Sans" w:hAnsi="Gill Sans" w:cs="Gill Sans"/>
                <w:sz w:val="22"/>
                <w:szCs w:val="22"/>
              </w:rPr>
            </w:pPr>
            <w:r>
              <w:rPr>
                <w:rFonts w:ascii="Gill Sans" w:hAnsi="Gill Sans" w:cs="Gill Sans"/>
                <w:sz w:val="22"/>
                <w:szCs w:val="22"/>
              </w:rPr>
              <w:t>Personal Attributes</w:t>
            </w:r>
          </w:p>
        </w:tc>
        <w:tc>
          <w:tcPr>
            <w:tcW w:w="6261" w:type="dxa"/>
            <w:shd w:val="clear" w:color="auto" w:fill="auto"/>
          </w:tcPr>
          <w:p w14:paraId="7328B998" w14:textId="4FCCA712"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Energy and enthusiasm  </w:t>
            </w:r>
          </w:p>
          <w:p w14:paraId="28B1DD18" w14:textId="5B619B5B"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Reliability and integrity  </w:t>
            </w:r>
          </w:p>
          <w:p w14:paraId="412C1CE0" w14:textId="36B077A9"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Sense of humour </w:t>
            </w:r>
          </w:p>
          <w:p w14:paraId="541B5FD2" w14:textId="1CE4B596"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 commit</w:t>
            </w:r>
            <w:r w:rsidR="009A4440">
              <w:rPr>
                <w:rFonts w:ascii="Gill Sans" w:hAnsi="Gill Sans" w:cs="Gill Sans"/>
                <w:sz w:val="22"/>
                <w:szCs w:val="22"/>
              </w:rPr>
              <w:t>ment to the ethos of the Academy and Nursery</w:t>
            </w:r>
          </w:p>
          <w:p w14:paraId="20F94810" w14:textId="52C3FB5D"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Commitment to your continuing professional development</w:t>
            </w:r>
          </w:p>
          <w:p w14:paraId="14C85CAA" w14:textId="60D0726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Vision and creativity</w:t>
            </w:r>
          </w:p>
          <w:p w14:paraId="00223909" w14:textId="010C5A38"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Adaptability to changing circumstances &amp; ideas.</w:t>
            </w:r>
          </w:p>
        </w:tc>
      </w:tr>
      <w:tr w:rsidR="003F2DA4" w:rsidRPr="003F2DA4" w14:paraId="6F057306" w14:textId="77777777" w:rsidTr="003F2DA4">
        <w:tc>
          <w:tcPr>
            <w:tcW w:w="2422" w:type="dxa"/>
            <w:shd w:val="clear" w:color="auto" w:fill="auto"/>
          </w:tcPr>
          <w:p w14:paraId="523C4E67" w14:textId="7212A773"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Safeguarding</w:t>
            </w:r>
          </w:p>
        </w:tc>
        <w:tc>
          <w:tcPr>
            <w:tcW w:w="6261" w:type="dxa"/>
            <w:shd w:val="clear" w:color="auto" w:fill="auto"/>
          </w:tcPr>
          <w:p w14:paraId="4A25392E" w14:textId="77777777" w:rsidR="00102A26" w:rsidRPr="00102A26"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Commitment to the safeguarding and protection of children and to the personal development of our pupils   </w:t>
            </w:r>
          </w:p>
          <w:p w14:paraId="5563C18F" w14:textId="2069E910" w:rsidR="003F2DA4" w:rsidRPr="00C448DC" w:rsidRDefault="00102A26" w:rsidP="00072C8E">
            <w:pPr>
              <w:pStyle w:val="ListParagraph"/>
              <w:numPr>
                <w:ilvl w:val="0"/>
                <w:numId w:val="6"/>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Understanding of the issues surrounding the safeguarding of children and commitment to child welfare and safety  </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3BAB83C" w:rsidR="00BF29B3" w:rsidRPr="003F2DA4" w:rsidRDefault="0060565D" w:rsidP="009C4429">
      <w:pPr>
        <w:jc w:val="both"/>
        <w:rPr>
          <w:rFonts w:ascii="Gill Sans" w:hAnsi="Gill Sans" w:cs="Gill Sans"/>
          <w:b/>
          <w:i/>
          <w:sz w:val="22"/>
          <w:szCs w:val="22"/>
        </w:rPr>
      </w:pPr>
      <w:r>
        <w:rPr>
          <w:rFonts w:ascii="Gill Sans" w:hAnsi="Gill Sans" w:cs="Gill Sans"/>
          <w:b/>
          <w:bCs/>
          <w:i/>
          <w:sz w:val="22"/>
          <w:szCs w:val="22"/>
        </w:rPr>
        <w:t>Newhall Primary Academy and Nursery</w:t>
      </w:r>
      <w:r w:rsidR="009C4429" w:rsidRPr="003F2DA4">
        <w:rPr>
          <w:rFonts w:ascii="Gill Sans" w:hAnsi="Gill Sans" w:cs="Gill Sans"/>
          <w:b/>
          <w:bCs/>
          <w:i/>
          <w:sz w:val="22"/>
          <w:szCs w:val="22"/>
        </w:rPr>
        <w:t xml:space="preserve">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A5DE6" w14:textId="77777777" w:rsidR="00897F2B" w:rsidRDefault="00897F2B">
      <w:r>
        <w:separator/>
      </w:r>
    </w:p>
  </w:endnote>
  <w:endnote w:type="continuationSeparator" w:id="0">
    <w:p w14:paraId="67F0F55D" w14:textId="77777777" w:rsidR="00897F2B" w:rsidRDefault="0089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300CCE0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2F4540">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2F4540">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FE34" w14:textId="77777777" w:rsidR="00897F2B" w:rsidRDefault="00897F2B">
      <w:r>
        <w:separator/>
      </w:r>
    </w:p>
  </w:footnote>
  <w:footnote w:type="continuationSeparator" w:id="0">
    <w:p w14:paraId="4807E0D9" w14:textId="77777777" w:rsidR="00897F2B" w:rsidRDefault="0089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96BAA"/>
    <w:multiLevelType w:val="hybridMultilevel"/>
    <w:tmpl w:val="3EA4726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413E3A6B"/>
    <w:multiLevelType w:val="hybridMultilevel"/>
    <w:tmpl w:val="D68E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7"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2376A"/>
    <w:multiLevelType w:val="hybridMultilevel"/>
    <w:tmpl w:val="4C6EA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9"/>
  </w:num>
  <w:num w:numId="6">
    <w:abstractNumId w:val="8"/>
  </w:num>
  <w:num w:numId="7">
    <w:abstractNumId w:val="10"/>
  </w:num>
  <w:num w:numId="8">
    <w:abstractNumId w:val="7"/>
  </w:num>
  <w:num w:numId="9">
    <w:abstractNumId w:val="1"/>
  </w:num>
  <w:num w:numId="10">
    <w:abstractNumId w:val="0"/>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4632"/>
    <w:rsid w:val="000105AB"/>
    <w:rsid w:val="000316C2"/>
    <w:rsid w:val="00072C8E"/>
    <w:rsid w:val="000877F8"/>
    <w:rsid w:val="000A5615"/>
    <w:rsid w:val="000A6A0C"/>
    <w:rsid w:val="000C4C9D"/>
    <w:rsid w:val="000D1B54"/>
    <w:rsid w:val="00102A26"/>
    <w:rsid w:val="00140216"/>
    <w:rsid w:val="00153F46"/>
    <w:rsid w:val="001F5484"/>
    <w:rsid w:val="002023C1"/>
    <w:rsid w:val="0021408E"/>
    <w:rsid w:val="002142ED"/>
    <w:rsid w:val="00215BD1"/>
    <w:rsid w:val="002230CF"/>
    <w:rsid w:val="002715AE"/>
    <w:rsid w:val="00275E2D"/>
    <w:rsid w:val="0028690A"/>
    <w:rsid w:val="00295FAC"/>
    <w:rsid w:val="002A41B8"/>
    <w:rsid w:val="002F4540"/>
    <w:rsid w:val="003F2DA4"/>
    <w:rsid w:val="0042012B"/>
    <w:rsid w:val="00423328"/>
    <w:rsid w:val="00430539"/>
    <w:rsid w:val="00445E7B"/>
    <w:rsid w:val="004B19A5"/>
    <w:rsid w:val="00563070"/>
    <w:rsid w:val="0056438A"/>
    <w:rsid w:val="005723A1"/>
    <w:rsid w:val="00582464"/>
    <w:rsid w:val="0060565D"/>
    <w:rsid w:val="0061021F"/>
    <w:rsid w:val="00615279"/>
    <w:rsid w:val="006270E4"/>
    <w:rsid w:val="00631161"/>
    <w:rsid w:val="0063650F"/>
    <w:rsid w:val="00636852"/>
    <w:rsid w:val="00673FBE"/>
    <w:rsid w:val="00687E15"/>
    <w:rsid w:val="006B0A91"/>
    <w:rsid w:val="006E2B8E"/>
    <w:rsid w:val="00720A7F"/>
    <w:rsid w:val="00750E95"/>
    <w:rsid w:val="00772CFD"/>
    <w:rsid w:val="007C787B"/>
    <w:rsid w:val="008124D6"/>
    <w:rsid w:val="008149C7"/>
    <w:rsid w:val="0085020D"/>
    <w:rsid w:val="00897F2B"/>
    <w:rsid w:val="00917368"/>
    <w:rsid w:val="009321D4"/>
    <w:rsid w:val="00932392"/>
    <w:rsid w:val="009A4440"/>
    <w:rsid w:val="009C4429"/>
    <w:rsid w:val="009F566F"/>
    <w:rsid w:val="009F68EB"/>
    <w:rsid w:val="00A53E7B"/>
    <w:rsid w:val="00AA48A2"/>
    <w:rsid w:val="00AE228D"/>
    <w:rsid w:val="00AE53A1"/>
    <w:rsid w:val="00B10153"/>
    <w:rsid w:val="00B45E75"/>
    <w:rsid w:val="00B60823"/>
    <w:rsid w:val="00B643E7"/>
    <w:rsid w:val="00B97CEA"/>
    <w:rsid w:val="00BA7A40"/>
    <w:rsid w:val="00BE6A61"/>
    <w:rsid w:val="00BF29B3"/>
    <w:rsid w:val="00BF414E"/>
    <w:rsid w:val="00C23BDC"/>
    <w:rsid w:val="00C41201"/>
    <w:rsid w:val="00C448DC"/>
    <w:rsid w:val="00C657CA"/>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F07BCA"/>
    <w:rsid w:val="00F12095"/>
    <w:rsid w:val="00F40B23"/>
    <w:rsid w:val="00F416E3"/>
    <w:rsid w:val="00F4436B"/>
    <w:rsid w:val="00F512B4"/>
    <w:rsid w:val="00FB03FC"/>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3.xml><?xml version="1.0" encoding="utf-8"?>
<ds:datastoreItem xmlns:ds="http://schemas.openxmlformats.org/officeDocument/2006/customXml" ds:itemID="{DCDBA78A-3B6E-4A25-A2CD-C10CE3EE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2018-01-22T12:18:00Z</cp:lastPrinted>
  <dcterms:created xsi:type="dcterms:W3CDTF">2019-02-11T10:50:00Z</dcterms:created>
  <dcterms:modified xsi:type="dcterms:W3CDTF">2019-02-11T10:50:00Z</dcterms:modified>
</cp:coreProperties>
</file>